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0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619"/>
        <w:gridCol w:w="2306"/>
        <w:gridCol w:w="3214"/>
        <w:gridCol w:w="2461"/>
      </w:tblGrid>
      <w:tr w:rsidR="00B67203" w:rsidRPr="00B67203" w:rsidTr="00B67203">
        <w:trPr>
          <w:tblHeader/>
        </w:trPr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CDCDCD"/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b/>
                <w:bCs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b/>
                <w:bCs/>
                <w:sz w:val="24"/>
                <w:szCs w:val="24"/>
                <w:lang w:eastAsia="pl-PL"/>
              </w:rPr>
              <w:t>Witaminy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CDCDCD"/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b/>
                <w:bCs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b/>
                <w:bCs/>
                <w:sz w:val="24"/>
                <w:szCs w:val="24"/>
                <w:lang w:eastAsia="pl-PL"/>
              </w:rPr>
              <w:t>Występowanie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CDCDCD"/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b/>
                <w:bCs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b/>
                <w:bCs/>
                <w:sz w:val="24"/>
                <w:szCs w:val="24"/>
                <w:lang w:eastAsia="pl-PL"/>
              </w:rPr>
              <w:t>Znaczenie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CDCDCD"/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b/>
                <w:bCs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b/>
                <w:bCs/>
                <w:sz w:val="24"/>
                <w:szCs w:val="24"/>
                <w:lang w:eastAsia="pl-PL"/>
              </w:rPr>
              <w:t>Skutki niedoboru</w:t>
            </w:r>
          </w:p>
        </w:tc>
      </w:tr>
      <w:tr w:rsidR="00B67203" w:rsidRPr="00B67203" w:rsidTr="00B67203"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A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masło, mleko, wątroba, marchew, dynia, pomidory, szpinak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odpowiada za prawidłowe widzenie, utrzymanie w dobrej kondycji skóry, prawidłowy wzrost i rozwój, wspomaga odporność organizmu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zaburzenia widzenia o zmierzchu (tzw. kurza ślepota), schorzenia skóry, zaburzenia wzrostu i rozwoju</w:t>
            </w:r>
          </w:p>
        </w:tc>
      </w:tr>
      <w:tr w:rsidR="00B67203" w:rsidRPr="00B67203" w:rsidTr="00B67203"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D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tran, mleko, ryby morskie, wątroba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odpowiada za prawidłową budowę kości i zębów, gdyż ma wpływ na wchłanianie wapnia i fosforu z przewodu pokarmowego do krwi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krzywica u dzieci, kruchość i łamliwość kości; u osób starszych osteoporoza</w:t>
            </w:r>
          </w:p>
        </w:tc>
      </w:tr>
      <w:tr w:rsidR="00B67203" w:rsidRPr="00B67203" w:rsidTr="00B67203"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E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oleje roślinne, warzywa liściaste, orzechy, mleko, sery, jaja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opóźnia procesy starzenia się, zapewnia prawidłowe funkcjonowanie układu mięśniowego i rozrodczego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zaburzenia pracy mięśni, niedokrwistość</w:t>
            </w:r>
          </w:p>
        </w:tc>
      </w:tr>
      <w:tr w:rsidR="00B67203" w:rsidRPr="00B67203" w:rsidTr="00B67203"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kalafior, warzywa liściaste (szpinak, sałata)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zapewnia prawidłowe krzepnięcie krwi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wydłużony czas krzepnięcia krwi</w:t>
            </w:r>
          </w:p>
        </w:tc>
      </w:tr>
      <w:tr w:rsidR="00B67203" w:rsidRPr="00B67203" w:rsidTr="00B67203">
        <w:trPr>
          <w:tblHeader/>
        </w:trPr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DCDCD"/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B6720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Wybrane witaminy rozpuszczalne w wodzie</w:t>
            </w:r>
          </w:p>
        </w:tc>
      </w:tr>
      <w:tr w:rsidR="00B67203" w:rsidRPr="00B67203" w:rsidTr="00B67203">
        <w:trPr>
          <w:tblHeader/>
        </w:trPr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DCDCD"/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B67203" w:rsidRPr="00B67203" w:rsidTr="00B67203">
        <w:trPr>
          <w:tblHeader/>
        </w:trPr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CDCDCD"/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b/>
                <w:bCs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b/>
                <w:bCs/>
                <w:sz w:val="24"/>
                <w:szCs w:val="24"/>
                <w:lang w:eastAsia="pl-PL"/>
              </w:rPr>
              <w:t>Witaminy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CDCDCD"/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b/>
                <w:bCs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b/>
                <w:bCs/>
                <w:sz w:val="24"/>
                <w:szCs w:val="24"/>
                <w:lang w:eastAsia="pl-PL"/>
              </w:rPr>
              <w:t>Występowanie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CDCDCD"/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b/>
                <w:bCs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b/>
                <w:bCs/>
                <w:sz w:val="24"/>
                <w:szCs w:val="24"/>
                <w:lang w:eastAsia="pl-PL"/>
              </w:rPr>
              <w:t>Znaczenie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CDCDCD"/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b/>
                <w:bCs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b/>
                <w:bCs/>
                <w:sz w:val="24"/>
                <w:szCs w:val="24"/>
                <w:lang w:eastAsia="pl-PL"/>
              </w:rPr>
              <w:t>Skutki niedoboru</w:t>
            </w:r>
          </w:p>
        </w:tc>
      </w:tr>
      <w:tr w:rsidR="00B67203" w:rsidRPr="00B67203" w:rsidTr="00B67203"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C (kwas askorbinowy)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kiszona kapusta, cebula, porzeczka, papryka</w:t>
            </w:r>
            <w:r w:rsidR="004E3509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 xml:space="preserve"> czerwona</w:t>
            </w:r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, owoc dzikiej róży, natka pietruszki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wzmacnia odporność organizmu, dziąseł i zębów, uszczelnia naczynia krwionośne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krwawienie dziąseł, wypadanie zębów, obniżenie odporności, trudne gojenie się ran</w:t>
            </w:r>
          </w:p>
        </w:tc>
      </w:tr>
      <w:tr w:rsidR="00B67203" w:rsidRPr="00B67203" w:rsidTr="00B67203"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vAlign w:val="center"/>
            <w:hideMark/>
          </w:tcPr>
          <w:p w:rsidR="00B67203" w:rsidRPr="00B67203" w:rsidRDefault="00861D36" w:rsidP="00B67203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</w:pPr>
            <w:r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B</w:t>
            </w:r>
            <w:r w:rsidR="000576EB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6</w:t>
            </w:r>
            <w:r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pirydoksyna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wątroba, drożdże, orzechy, kasza gryczana, pieczywo pełnoziarniste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wzmacnia odporność, zwiększa wchłanianie magnezu w przewodzie pokarmowym, wspomaga pracę układu nerwowego, uczestniczy w procesach przemiany aminokwasów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zaburzenia przemiany białek, stany zapalne skóry</w:t>
            </w:r>
          </w:p>
        </w:tc>
      </w:tr>
      <w:tr w:rsidR="00B67203" w:rsidRPr="00B67203" w:rsidTr="00B67203"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</w:pPr>
            <w:proofErr w:type="spellStart"/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BIndeks</w:t>
            </w:r>
            <w:proofErr w:type="spellEnd"/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 xml:space="preserve"> dolny 11</w:t>
            </w:r>
            <w:r w:rsidRPr="00B67203">
              <w:rPr>
                <w:rFonts w:ascii="Garamond" w:eastAsia="Times New Roman" w:hAnsi="Garamond" w:cs="Times New Roman"/>
                <w:sz w:val="18"/>
                <w:szCs w:val="18"/>
                <w:vertAlign w:val="subscript"/>
                <w:lang w:eastAsia="pl-PL"/>
              </w:rPr>
              <w:t>11</w:t>
            </w:r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 (kwas foliowy)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zielone warzywa, drożdże, rośliny strączkowe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zapewnia prawidłowy rozwój układu nerwowego u rozwijającego się płodu, pobudza wytwarzanie krwinek czerwonych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zaburzenia rozwoju płodu</w:t>
            </w:r>
            <w:r w:rsidR="000576EB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-wady cewy nerwowej u noworodków</w:t>
            </w:r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, anemia, zaburzenia pracy układu nerwowego</w:t>
            </w:r>
          </w:p>
        </w:tc>
      </w:tr>
      <w:tr w:rsidR="00B67203" w:rsidRPr="00B67203" w:rsidTr="00B67203"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</w:pPr>
            <w:proofErr w:type="spellStart"/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BIndeks</w:t>
            </w:r>
            <w:proofErr w:type="spellEnd"/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 xml:space="preserve"> dolny 12</w:t>
            </w:r>
            <w:r w:rsidR="00861D36">
              <w:rPr>
                <w:rFonts w:ascii="Garamond" w:eastAsia="Times New Roman" w:hAnsi="Garamond" w:cs="Times New Roman"/>
                <w:sz w:val="18"/>
                <w:szCs w:val="18"/>
                <w:vertAlign w:val="subscript"/>
                <w:lang w:eastAsia="pl-PL"/>
              </w:rPr>
              <w:t xml:space="preserve"> </w:t>
            </w:r>
            <w:r w:rsidR="00861D36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kobalamina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wątroba, ryby, mleko, sery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zapewnia prawidłowe funkcjonowanie układu nerwowego, uczestniczy w wytwarzaniu krwinek czerwonych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vAlign w:val="center"/>
            <w:hideMark/>
          </w:tcPr>
          <w:p w:rsidR="00B67203" w:rsidRPr="00B67203" w:rsidRDefault="00B67203" w:rsidP="00B67203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</w:pPr>
            <w:r w:rsidRPr="00B67203">
              <w:rPr>
                <w:rFonts w:ascii="Garamond" w:eastAsia="Times New Roman" w:hAnsi="Garamond" w:cs="Times New Roman"/>
                <w:sz w:val="24"/>
                <w:szCs w:val="24"/>
                <w:lang w:eastAsia="pl-PL"/>
              </w:rPr>
              <w:t>anemia, zaburzenia pracy układu nerwowego</w:t>
            </w:r>
          </w:p>
        </w:tc>
      </w:tr>
    </w:tbl>
    <w:p w:rsidR="00F83882" w:rsidRDefault="00F83882"/>
    <w:p w:rsidR="000C7E63" w:rsidRDefault="000C7E63"/>
    <w:p w:rsidR="000C7E63" w:rsidRDefault="000C7E63"/>
    <w:p w:rsidR="000C7E63" w:rsidRDefault="000C7E63"/>
    <w:p w:rsidR="000C7E63" w:rsidRDefault="000C7E63"/>
    <w:p w:rsidR="000C7E63" w:rsidRDefault="000C7E63"/>
    <w:tbl>
      <w:tblPr>
        <w:tblW w:w="960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209"/>
        <w:gridCol w:w="2633"/>
        <w:gridCol w:w="3124"/>
        <w:gridCol w:w="2634"/>
      </w:tblGrid>
      <w:tr w:rsidR="000C7E63" w:rsidRPr="000C7E63" w:rsidTr="000C7E63">
        <w:trPr>
          <w:tblHeader/>
        </w:trPr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CDCDCD"/>
            <w:vAlign w:val="center"/>
            <w:hideMark/>
          </w:tcPr>
          <w:p w:rsidR="000C7E63" w:rsidRPr="000C7E63" w:rsidRDefault="000C7E63" w:rsidP="000C7E63">
            <w:pPr>
              <w:spacing w:after="0" w:line="240" w:lineRule="auto"/>
              <w:rPr>
                <w:rFonts w:ascii="Garamond" w:eastAsia="Times New Roman" w:hAnsi="Garamond" w:cs="Helvetica"/>
                <w:b/>
                <w:bCs/>
                <w:color w:val="1B1B1B"/>
                <w:sz w:val="24"/>
                <w:szCs w:val="24"/>
                <w:lang w:eastAsia="pl-PL"/>
              </w:rPr>
            </w:pPr>
            <w:r w:rsidRPr="000C7E63">
              <w:rPr>
                <w:rFonts w:ascii="Garamond" w:eastAsia="Times New Roman" w:hAnsi="Garamond" w:cs="Helvetica"/>
                <w:b/>
                <w:bCs/>
                <w:color w:val="1B1B1B"/>
                <w:sz w:val="24"/>
                <w:szCs w:val="24"/>
                <w:lang w:eastAsia="pl-PL"/>
              </w:rPr>
              <w:t>Pierwiastek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CDCDCD"/>
            <w:vAlign w:val="center"/>
            <w:hideMark/>
          </w:tcPr>
          <w:p w:rsidR="000C7E63" w:rsidRPr="000C7E63" w:rsidRDefault="000C7E63" w:rsidP="000C7E63">
            <w:pPr>
              <w:spacing w:after="0" w:line="240" w:lineRule="auto"/>
              <w:rPr>
                <w:rFonts w:ascii="Garamond" w:eastAsia="Times New Roman" w:hAnsi="Garamond" w:cs="Helvetica"/>
                <w:b/>
                <w:bCs/>
                <w:color w:val="1B1B1B"/>
                <w:sz w:val="24"/>
                <w:szCs w:val="24"/>
                <w:lang w:eastAsia="pl-PL"/>
              </w:rPr>
            </w:pPr>
            <w:r w:rsidRPr="000C7E63">
              <w:rPr>
                <w:rFonts w:ascii="Garamond" w:eastAsia="Times New Roman" w:hAnsi="Garamond" w:cs="Helvetica"/>
                <w:b/>
                <w:bCs/>
                <w:color w:val="1B1B1B"/>
                <w:sz w:val="24"/>
                <w:szCs w:val="24"/>
                <w:lang w:eastAsia="pl-PL"/>
              </w:rPr>
              <w:t>Występowanie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CDCDCD"/>
            <w:vAlign w:val="center"/>
            <w:hideMark/>
          </w:tcPr>
          <w:p w:rsidR="000C7E63" w:rsidRPr="000C7E63" w:rsidRDefault="000C7E63" w:rsidP="000C7E63">
            <w:pPr>
              <w:spacing w:after="0" w:line="240" w:lineRule="auto"/>
              <w:rPr>
                <w:rFonts w:ascii="Garamond" w:eastAsia="Times New Roman" w:hAnsi="Garamond" w:cs="Helvetica"/>
                <w:b/>
                <w:bCs/>
                <w:color w:val="1B1B1B"/>
                <w:sz w:val="24"/>
                <w:szCs w:val="24"/>
                <w:lang w:eastAsia="pl-PL"/>
              </w:rPr>
            </w:pPr>
            <w:r w:rsidRPr="000C7E63">
              <w:rPr>
                <w:rFonts w:ascii="Garamond" w:eastAsia="Times New Roman" w:hAnsi="Garamond" w:cs="Helvetica"/>
                <w:b/>
                <w:bCs/>
                <w:color w:val="1B1B1B"/>
                <w:sz w:val="24"/>
                <w:szCs w:val="24"/>
                <w:lang w:eastAsia="pl-PL"/>
              </w:rPr>
              <w:t>Znaczenie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CDCDCD"/>
            <w:vAlign w:val="center"/>
            <w:hideMark/>
          </w:tcPr>
          <w:p w:rsidR="000C7E63" w:rsidRPr="000C7E63" w:rsidRDefault="000C7E63" w:rsidP="000C7E63">
            <w:pPr>
              <w:spacing w:after="0" w:line="240" w:lineRule="auto"/>
              <w:rPr>
                <w:rFonts w:ascii="Garamond" w:eastAsia="Times New Roman" w:hAnsi="Garamond" w:cs="Helvetica"/>
                <w:b/>
                <w:bCs/>
                <w:color w:val="1B1B1B"/>
                <w:sz w:val="24"/>
                <w:szCs w:val="24"/>
                <w:lang w:eastAsia="pl-PL"/>
              </w:rPr>
            </w:pPr>
            <w:r w:rsidRPr="000C7E63">
              <w:rPr>
                <w:rFonts w:ascii="Garamond" w:eastAsia="Times New Roman" w:hAnsi="Garamond" w:cs="Helvetica"/>
                <w:b/>
                <w:bCs/>
                <w:color w:val="1B1B1B"/>
                <w:sz w:val="24"/>
                <w:szCs w:val="24"/>
                <w:lang w:eastAsia="pl-PL"/>
              </w:rPr>
              <w:t>Skutki niedoboru</w:t>
            </w:r>
          </w:p>
        </w:tc>
      </w:tr>
      <w:tr w:rsidR="000C7E63" w:rsidRPr="000C7E63" w:rsidTr="000C7E63">
        <w:tc>
          <w:tcPr>
            <w:tcW w:w="0" w:type="auto"/>
            <w:gridSpan w:val="4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FFFFFF"/>
            <w:vAlign w:val="center"/>
            <w:hideMark/>
          </w:tcPr>
          <w:p w:rsidR="000C7E63" w:rsidRPr="000C7E63" w:rsidRDefault="000C7E63" w:rsidP="000C7E63">
            <w:pPr>
              <w:spacing w:after="0" w:line="240" w:lineRule="auto"/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</w:pPr>
            <w:r w:rsidRPr="000C7E63">
              <w:rPr>
                <w:rFonts w:ascii="Garamond" w:eastAsia="Times New Roman" w:hAnsi="Garamond" w:cs="Helvetica"/>
                <w:b/>
                <w:bCs/>
                <w:color w:val="1B1B1B"/>
                <w:sz w:val="24"/>
                <w:szCs w:val="24"/>
                <w:lang w:eastAsia="pl-PL"/>
              </w:rPr>
              <w:t>MAKROELEMENTY</w:t>
            </w:r>
          </w:p>
        </w:tc>
      </w:tr>
      <w:tr w:rsidR="000C7E63" w:rsidRPr="000C7E63" w:rsidTr="000C7E63"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FFFFFF"/>
            <w:vAlign w:val="center"/>
            <w:hideMark/>
          </w:tcPr>
          <w:p w:rsidR="000C7E63" w:rsidRPr="000C7E63" w:rsidRDefault="000C7E63" w:rsidP="000C7E63">
            <w:pPr>
              <w:spacing w:after="0" w:line="240" w:lineRule="auto"/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</w:pPr>
            <w:r w:rsidRPr="000C7E63"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  <w:t>wapń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FFFFFF"/>
            <w:vAlign w:val="center"/>
            <w:hideMark/>
          </w:tcPr>
          <w:p w:rsidR="000C7E63" w:rsidRPr="000C7E63" w:rsidRDefault="000C7E63" w:rsidP="000C7E63">
            <w:pPr>
              <w:spacing w:after="0" w:line="240" w:lineRule="auto"/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</w:pPr>
            <w:r w:rsidRPr="000C7E63"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  <w:t>mleko i jego przetwory, kapusta, kalafior, brokuły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FFFFFF"/>
            <w:vAlign w:val="center"/>
            <w:hideMark/>
          </w:tcPr>
          <w:p w:rsidR="000C7E63" w:rsidRPr="000C7E63" w:rsidRDefault="000C7E63" w:rsidP="000C7E63">
            <w:pPr>
              <w:spacing w:after="0" w:line="240" w:lineRule="auto"/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</w:pPr>
            <w:r w:rsidRPr="000C7E63"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  <w:t>podstawowy składnik kości i zębów, uczestniczy w pracy mięśni i procesach krzepnięcia krwi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FFFFFF"/>
            <w:vAlign w:val="center"/>
            <w:hideMark/>
          </w:tcPr>
          <w:p w:rsidR="000C7E63" w:rsidRPr="000C7E63" w:rsidRDefault="000C7E63" w:rsidP="000C7E63">
            <w:pPr>
              <w:spacing w:after="0" w:line="240" w:lineRule="auto"/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</w:pPr>
            <w:r w:rsidRPr="000C7E63"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  <w:t>zaburzenia pracy serca i mięśni, kruchość i łamliwość kości, krzywica, wypadanie zębów</w:t>
            </w:r>
          </w:p>
        </w:tc>
      </w:tr>
      <w:tr w:rsidR="000C7E63" w:rsidRPr="000C7E63" w:rsidTr="000C7E63"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FFFFFF"/>
            <w:vAlign w:val="center"/>
            <w:hideMark/>
          </w:tcPr>
          <w:p w:rsidR="000C7E63" w:rsidRPr="000C7E63" w:rsidRDefault="000C7E63" w:rsidP="000C7E63">
            <w:pPr>
              <w:spacing w:after="0" w:line="240" w:lineRule="auto"/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</w:pPr>
            <w:r w:rsidRPr="000C7E63"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  <w:t>magnez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FFFFFF"/>
            <w:vAlign w:val="center"/>
            <w:hideMark/>
          </w:tcPr>
          <w:p w:rsidR="000C7E63" w:rsidRPr="000C7E63" w:rsidRDefault="000C7E63" w:rsidP="000C7E63">
            <w:pPr>
              <w:spacing w:after="0" w:line="240" w:lineRule="auto"/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</w:pPr>
            <w:r w:rsidRPr="000C7E63"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  <w:t>razowe pieczywo, banany, orzechy, fasola, groch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FFFFFF"/>
            <w:vAlign w:val="center"/>
            <w:hideMark/>
          </w:tcPr>
          <w:p w:rsidR="000C7E63" w:rsidRPr="000C7E63" w:rsidRDefault="000C7E63" w:rsidP="000C7E63">
            <w:pPr>
              <w:spacing w:after="0" w:line="240" w:lineRule="auto"/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</w:pPr>
            <w:r w:rsidRPr="000C7E63"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  <w:t>wspomaga pracę układu nerwowego, ułatwia przyswajanie witaminy C, poprawia kondycję układu nerwowego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FFFFFF"/>
            <w:vAlign w:val="center"/>
            <w:hideMark/>
          </w:tcPr>
          <w:p w:rsidR="000C7E63" w:rsidRPr="000C7E63" w:rsidRDefault="000C7E63" w:rsidP="000C7E63">
            <w:pPr>
              <w:spacing w:after="0" w:line="240" w:lineRule="auto"/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</w:pPr>
            <w:r w:rsidRPr="000C7E63"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  <w:t>zaburzenia pracy serca, kurcze mięśni, migreny</w:t>
            </w:r>
          </w:p>
        </w:tc>
      </w:tr>
      <w:tr w:rsidR="000C7E63" w:rsidRPr="000C7E63" w:rsidTr="000C7E63"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FFFFFF"/>
            <w:vAlign w:val="center"/>
            <w:hideMark/>
          </w:tcPr>
          <w:p w:rsidR="000C7E63" w:rsidRPr="000C7E63" w:rsidRDefault="000C7E63" w:rsidP="000C7E63">
            <w:pPr>
              <w:spacing w:after="0" w:line="240" w:lineRule="auto"/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</w:pPr>
            <w:r w:rsidRPr="000C7E63"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  <w:t>fosfor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FFFFFF"/>
            <w:vAlign w:val="center"/>
            <w:hideMark/>
          </w:tcPr>
          <w:p w:rsidR="000C7E63" w:rsidRPr="000C7E63" w:rsidRDefault="000C7E63" w:rsidP="000C7E63">
            <w:pPr>
              <w:spacing w:after="0" w:line="240" w:lineRule="auto"/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</w:pPr>
            <w:r w:rsidRPr="000C7E63"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  <w:t>zielone warzywa, ryby, ziarna zbóż, mleko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FFFFFF"/>
            <w:vAlign w:val="center"/>
            <w:hideMark/>
          </w:tcPr>
          <w:p w:rsidR="000C7E63" w:rsidRPr="000C7E63" w:rsidRDefault="000C7E63" w:rsidP="000C7E63">
            <w:pPr>
              <w:spacing w:after="0" w:line="240" w:lineRule="auto"/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</w:pPr>
            <w:r w:rsidRPr="000C7E63"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  <w:t>składnik zębów, kości, ATP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FFFFFF"/>
            <w:vAlign w:val="center"/>
            <w:hideMark/>
          </w:tcPr>
          <w:p w:rsidR="000C7E63" w:rsidRPr="000C7E63" w:rsidRDefault="000C7E63" w:rsidP="000C7E63">
            <w:pPr>
              <w:spacing w:after="0" w:line="240" w:lineRule="auto"/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</w:pPr>
            <w:r w:rsidRPr="000C7E63"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  <w:t>krzywica, próchnica, zaburzenia wytwarzania ATP</w:t>
            </w:r>
          </w:p>
        </w:tc>
      </w:tr>
      <w:tr w:rsidR="000C7E63" w:rsidRPr="000C7E63" w:rsidTr="000C7E63">
        <w:tc>
          <w:tcPr>
            <w:tcW w:w="0" w:type="auto"/>
            <w:gridSpan w:val="4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FFFFFF"/>
            <w:vAlign w:val="center"/>
            <w:hideMark/>
          </w:tcPr>
          <w:p w:rsidR="000C7E63" w:rsidRPr="000C7E63" w:rsidRDefault="000C7E63" w:rsidP="000C7E63">
            <w:pPr>
              <w:spacing w:after="0" w:line="240" w:lineRule="auto"/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</w:pPr>
            <w:r w:rsidRPr="000C7E63">
              <w:rPr>
                <w:rFonts w:ascii="Garamond" w:eastAsia="Times New Roman" w:hAnsi="Garamond" w:cs="Helvetica"/>
                <w:b/>
                <w:bCs/>
                <w:color w:val="1B1B1B"/>
                <w:sz w:val="24"/>
                <w:szCs w:val="24"/>
                <w:lang w:eastAsia="pl-PL"/>
              </w:rPr>
              <w:t>MIKROELEMENTY</w:t>
            </w:r>
          </w:p>
        </w:tc>
      </w:tr>
      <w:tr w:rsidR="000C7E63" w:rsidRPr="000C7E63" w:rsidTr="000C7E63"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FFFFFF"/>
            <w:vAlign w:val="center"/>
            <w:hideMark/>
          </w:tcPr>
          <w:p w:rsidR="000C7E63" w:rsidRPr="000C7E63" w:rsidRDefault="000C7E63" w:rsidP="000C7E63">
            <w:pPr>
              <w:spacing w:after="0" w:line="240" w:lineRule="auto"/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</w:pPr>
            <w:r w:rsidRPr="000C7E63"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  <w:t>żelazo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FFFFFF"/>
            <w:vAlign w:val="center"/>
            <w:hideMark/>
          </w:tcPr>
          <w:p w:rsidR="000C7E63" w:rsidRPr="000C7E63" w:rsidRDefault="000C7E63" w:rsidP="000C7E63">
            <w:pPr>
              <w:spacing w:after="0" w:line="240" w:lineRule="auto"/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</w:pPr>
            <w:r w:rsidRPr="000C7E63"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  <w:t>mięso, zielone warzywa, kasze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FFFFFF"/>
            <w:vAlign w:val="center"/>
            <w:hideMark/>
          </w:tcPr>
          <w:p w:rsidR="000C7E63" w:rsidRPr="000C7E63" w:rsidRDefault="000C7E63" w:rsidP="000C7E63">
            <w:pPr>
              <w:spacing w:after="0" w:line="240" w:lineRule="auto"/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</w:pPr>
            <w:r w:rsidRPr="000C7E63"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  <w:t>składnik hemoglobiny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FFFFFF"/>
            <w:vAlign w:val="center"/>
            <w:hideMark/>
          </w:tcPr>
          <w:p w:rsidR="000C7E63" w:rsidRPr="000C7E63" w:rsidRDefault="000C7E63" w:rsidP="000C7E63">
            <w:pPr>
              <w:spacing w:after="0" w:line="240" w:lineRule="auto"/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</w:pPr>
            <w:r w:rsidRPr="000C7E63"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  <w:t>anemia, zaburzenia pracy serca</w:t>
            </w:r>
          </w:p>
        </w:tc>
      </w:tr>
      <w:tr w:rsidR="000C7E63" w:rsidRPr="000C7E63" w:rsidTr="000C7E63"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FFFFFF"/>
            <w:vAlign w:val="center"/>
            <w:hideMark/>
          </w:tcPr>
          <w:p w:rsidR="000C7E63" w:rsidRPr="000C7E63" w:rsidRDefault="000C7E63" w:rsidP="000C7E63">
            <w:pPr>
              <w:spacing w:after="0" w:line="240" w:lineRule="auto"/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</w:pPr>
            <w:r w:rsidRPr="000C7E63"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  <w:t>fluor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FFFFFF"/>
            <w:vAlign w:val="center"/>
            <w:hideMark/>
          </w:tcPr>
          <w:p w:rsidR="000C7E63" w:rsidRPr="000C7E63" w:rsidRDefault="000C7E63" w:rsidP="000C7E63">
            <w:pPr>
              <w:spacing w:after="0" w:line="240" w:lineRule="auto"/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</w:pPr>
            <w:r w:rsidRPr="000C7E63"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  <w:t>herbata, ryby morskie, ciemne pieczywo, woda wodociągowa (fluorowana)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FFFFFF"/>
            <w:vAlign w:val="center"/>
            <w:hideMark/>
          </w:tcPr>
          <w:p w:rsidR="000C7E63" w:rsidRPr="000C7E63" w:rsidRDefault="000C7E63" w:rsidP="000C7E63">
            <w:pPr>
              <w:spacing w:after="0" w:line="240" w:lineRule="auto"/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</w:pPr>
            <w:r w:rsidRPr="000C7E63"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  <w:t>wzmacnia kości i zęby</w:t>
            </w:r>
          </w:p>
        </w:tc>
        <w:tc>
          <w:tcPr>
            <w:tcW w:w="0" w:type="auto"/>
            <w:tcBorders>
              <w:top w:val="single" w:sz="6" w:space="0" w:color="B4B4B4"/>
              <w:left w:val="single" w:sz="6" w:space="0" w:color="B4B4B4"/>
              <w:bottom w:val="single" w:sz="6" w:space="0" w:color="B4B4B4"/>
              <w:right w:val="single" w:sz="6" w:space="0" w:color="B4B4B4"/>
            </w:tcBorders>
            <w:shd w:val="clear" w:color="auto" w:fill="FFFFFF"/>
            <w:vAlign w:val="center"/>
            <w:hideMark/>
          </w:tcPr>
          <w:p w:rsidR="000C7E63" w:rsidRPr="000C7E63" w:rsidRDefault="000C7E63" w:rsidP="000C7E63">
            <w:pPr>
              <w:spacing w:after="0" w:line="240" w:lineRule="auto"/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</w:pPr>
            <w:r w:rsidRPr="000C7E63">
              <w:rPr>
                <w:rFonts w:ascii="Garamond" w:eastAsia="Times New Roman" w:hAnsi="Garamond" w:cs="Helvetica"/>
                <w:color w:val="1B1B1B"/>
                <w:sz w:val="24"/>
                <w:szCs w:val="24"/>
                <w:lang w:eastAsia="pl-PL"/>
              </w:rPr>
              <w:t>krzywica, próchnica</w:t>
            </w:r>
          </w:p>
        </w:tc>
      </w:tr>
    </w:tbl>
    <w:p w:rsidR="000C7E63" w:rsidRDefault="000C7E63"/>
    <w:p w:rsidR="000C7E63" w:rsidRDefault="000C7E63"/>
    <w:p w:rsidR="000C7E63" w:rsidRDefault="000C7E63"/>
    <w:p w:rsidR="000C7E63" w:rsidRDefault="000C7E63"/>
    <w:p w:rsidR="000C7E63" w:rsidRDefault="000C7E63"/>
    <w:p w:rsidR="000C7E63" w:rsidRDefault="000C7E63"/>
    <w:p w:rsidR="000C7E63" w:rsidRDefault="000C7E63"/>
    <w:p w:rsidR="000C7E63" w:rsidRDefault="000C7E63"/>
    <w:sectPr w:rsidR="000C7E63" w:rsidSect="00F8388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B67203"/>
    <w:rsid w:val="000576EB"/>
    <w:rsid w:val="000C7E63"/>
    <w:rsid w:val="004E3509"/>
    <w:rsid w:val="00861D36"/>
    <w:rsid w:val="00B67203"/>
    <w:rsid w:val="00DE6E1F"/>
    <w:rsid w:val="00F12D8E"/>
    <w:rsid w:val="00F838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8388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B672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r-only">
    <w:name w:val="sr-only"/>
    <w:basedOn w:val="Domylnaczcionkaakapitu"/>
    <w:rsid w:val="00B67203"/>
  </w:style>
  <w:style w:type="character" w:styleId="Pogrubienie">
    <w:name w:val="Strong"/>
    <w:basedOn w:val="Domylnaczcionkaakapitu"/>
    <w:uiPriority w:val="22"/>
    <w:qFormat/>
    <w:rsid w:val="000C7E6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946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602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46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163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419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094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264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7389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101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2257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543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29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848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021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3730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098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9219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8315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52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553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572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760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19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466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0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20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66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20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76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05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482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5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73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73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98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23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84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40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86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44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654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05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30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42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04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964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85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89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61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8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9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5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1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72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10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6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43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58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53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517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15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64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33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82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22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414</Words>
  <Characters>2488</Characters>
  <Application>Microsoft Office Word</Application>
  <DocSecurity>0</DocSecurity>
  <Lines>20</Lines>
  <Paragraphs>5</Paragraphs>
  <ScaleCrop>false</ScaleCrop>
  <Company/>
  <LinksUpToDate>false</LinksUpToDate>
  <CharactersWithSpaces>2897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dcterms:created xsi:type="dcterms:W3CDTF">2020-12-08T19:38:00Z</dcterms:created>
  <dcterms:modified xsi:type="dcterms:W3CDTF">2020-12-15T10:51:00Z</dcterms:modified>
</cp:coreProperties>
</file>