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EF" w:rsidRPr="001975EF" w:rsidRDefault="001975EF" w:rsidP="001975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b/>
          <w:bCs/>
          <w:color w:val="202122"/>
          <w:sz w:val="30"/>
          <w:szCs w:val="30"/>
          <w:lang w:eastAsia="pl-PL"/>
        </w:rPr>
        <w:t>Składniki odżywcze</w:t>
      </w: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– </w:t>
      </w:r>
      <w:hyperlink r:id="rId5" w:tooltip="Związek chemiczn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substancje chemiczne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dostarczane do organizmu przez </w:t>
      </w:r>
      <w:hyperlink r:id="rId6" w:tooltip="Pokarm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pokarm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, który dostaje się do niego poprzez </w:t>
      </w:r>
      <w:hyperlink r:id="rId7" w:tooltip="Układ pokarmow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układ pokarmowy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i wydobywane są z niego w procesie </w:t>
      </w:r>
      <w:hyperlink r:id="rId8" w:tooltip="Trawienie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trawienia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. Elementy produktów spożywczych są niezbędne do prawidłowego funkcjonowania organizmu.</w:t>
      </w:r>
    </w:p>
    <w:p w:rsidR="001975EF" w:rsidRPr="001975EF" w:rsidRDefault="001975EF" w:rsidP="001975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Należą do nich:</w:t>
      </w:r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9" w:tooltip="Białka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białka</w:t>
        </w:r>
      </w:hyperlink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pełnowartościowe (zwierzęce oraz pochodzące z roślin strączkowych)</w:t>
      </w:r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niepełnowartościowe (roślinne)</w:t>
      </w:r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częściowo niepełnowartościowe, czyli zawierające wszystkie </w:t>
      </w:r>
      <w:hyperlink r:id="rId10" w:tooltip="Aminokwasy egzogenne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aminokwasy egzogenne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, jednak w niewystarczających człowiekowi ilościach</w:t>
      </w:r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1" w:tooltip="Tłuszcze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tłuszcze</w:t>
        </w:r>
      </w:hyperlink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roślinne</w:t>
      </w:r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zwierzęce</w:t>
      </w:r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2" w:tooltip="Węglowodan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węglowodany</w:t>
        </w:r>
      </w:hyperlink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proste (fruktoza, glukoza, mannoza, galaktoza)</w:t>
      </w:r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złożone: </w:t>
      </w:r>
      <w:hyperlink r:id="rId13" w:tooltip="Disacharyd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dwucukry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(laktoza, sacharoza, maltoza), </w:t>
      </w:r>
      <w:hyperlink r:id="rId14" w:tooltip="Polisacharyd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wielocukry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(</w:t>
      </w:r>
      <w:proofErr w:type="spellStart"/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skrobia,pektyny</w:t>
      </w:r>
      <w:proofErr w:type="spellEnd"/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)</w:t>
      </w:r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5" w:tooltip="Witaminy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witaminy</w:t>
        </w:r>
      </w:hyperlink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6" w:tooltip="Sole mineralne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sole mineralne</w:t>
        </w:r>
      </w:hyperlink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7" w:tooltip="Znaczenie biologiczne pierwiastków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makroelementy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(wapń, fosfor, potas, magnez, chlor, siarka, sód)</w:t>
      </w:r>
    </w:p>
    <w:p w:rsidR="001975EF" w:rsidRPr="001975EF" w:rsidRDefault="001975EF" w:rsidP="001975E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8" w:tooltip="Znaczenie biologiczne pierwiastków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mikroelementy</w:t>
        </w:r>
      </w:hyperlink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 (żelazo, cynk, miedź, molibden, jod, mangan, kobalt, fluor, selen, chrom)</w:t>
      </w:r>
    </w:p>
    <w:p w:rsidR="001975EF" w:rsidRPr="001975EF" w:rsidRDefault="001975EF" w:rsidP="001975E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hyperlink r:id="rId19" w:tooltip="Woda" w:history="1">
        <w:r w:rsidRPr="001975EF">
          <w:rPr>
            <w:rFonts w:ascii="Arial" w:eastAsia="Times New Roman" w:hAnsi="Arial" w:cs="Arial"/>
            <w:color w:val="0B0080"/>
            <w:sz w:val="30"/>
            <w:lang w:eastAsia="pl-PL"/>
          </w:rPr>
          <w:t>woda</w:t>
        </w:r>
      </w:hyperlink>
    </w:p>
    <w:p w:rsidR="001975EF" w:rsidRPr="001975EF" w:rsidRDefault="001975EF" w:rsidP="001975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Składniki odżywcze spełniają trzy funkcje w organizmie:</w:t>
      </w:r>
    </w:p>
    <w:p w:rsidR="001975EF" w:rsidRPr="001975EF" w:rsidRDefault="001975EF" w:rsidP="001975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budulcową (białko, składniki mineralne) – dostarczają budulca do tworzenia, odbudowy lub utrzymania tkanek,</w:t>
      </w:r>
    </w:p>
    <w:p w:rsidR="001975EF" w:rsidRPr="001975EF" w:rsidRDefault="001975EF" w:rsidP="001975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energetyczną (węglowodany, tłuszcze) – służą jako "paliwo" dostarczające energii.</w:t>
      </w:r>
    </w:p>
    <w:p w:rsidR="001975EF" w:rsidRPr="001975EF" w:rsidRDefault="001975EF" w:rsidP="001975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30"/>
          <w:szCs w:val="30"/>
          <w:lang w:eastAsia="pl-PL"/>
        </w:rPr>
      </w:pPr>
      <w:r w:rsidRPr="001975EF">
        <w:rPr>
          <w:rFonts w:ascii="Arial" w:eastAsia="Times New Roman" w:hAnsi="Arial" w:cs="Arial"/>
          <w:color w:val="202122"/>
          <w:sz w:val="30"/>
          <w:szCs w:val="30"/>
          <w:lang w:eastAsia="pl-PL"/>
        </w:rPr>
        <w:t>regulującą (witaminy, składniki mineralne) – pomagają regulować procesy zachodzące w ciele.</w:t>
      </w:r>
    </w:p>
    <w:p w:rsidR="00814E74" w:rsidRDefault="00814E74"/>
    <w:sectPr w:rsidR="00814E74" w:rsidSect="0081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772E"/>
    <w:multiLevelType w:val="multilevel"/>
    <w:tmpl w:val="C1F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C5E3D"/>
    <w:multiLevelType w:val="multilevel"/>
    <w:tmpl w:val="A23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975EF"/>
    <w:rsid w:val="001975EF"/>
    <w:rsid w:val="0081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rawienie" TargetMode="External"/><Relationship Id="rId13" Type="http://schemas.openxmlformats.org/officeDocument/2006/relationships/hyperlink" Target="https://pl.wikipedia.org/wiki/Disacharydy" TargetMode="External"/><Relationship Id="rId18" Type="http://schemas.openxmlformats.org/officeDocument/2006/relationships/hyperlink" Target="https://pl.wikipedia.org/wiki/Znaczenie_biologiczne_pierwiastk%C3%B3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.wikipedia.org/wiki/Uk%C5%82ad_pokarmowy" TargetMode="External"/><Relationship Id="rId12" Type="http://schemas.openxmlformats.org/officeDocument/2006/relationships/hyperlink" Target="https://pl.wikipedia.org/wiki/W%C4%99glowodany" TargetMode="External"/><Relationship Id="rId17" Type="http://schemas.openxmlformats.org/officeDocument/2006/relationships/hyperlink" Target="https://pl.wikipedia.org/wiki/Znaczenie_biologiczne_pierwiastk%C3%B3w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ole_mineraln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Pokarm" TargetMode="External"/><Relationship Id="rId11" Type="http://schemas.openxmlformats.org/officeDocument/2006/relationships/hyperlink" Target="https://pl.wikipedia.org/wiki/T%C5%82uszcze" TargetMode="External"/><Relationship Id="rId5" Type="http://schemas.openxmlformats.org/officeDocument/2006/relationships/hyperlink" Target="https://pl.wikipedia.org/wiki/Zwi%C4%85zek_chemiczny" TargetMode="External"/><Relationship Id="rId15" Type="http://schemas.openxmlformats.org/officeDocument/2006/relationships/hyperlink" Target="https://pl.wikipedia.org/wiki/Witaminy" TargetMode="External"/><Relationship Id="rId10" Type="http://schemas.openxmlformats.org/officeDocument/2006/relationships/hyperlink" Target="https://pl.wikipedia.org/wiki/Aminokwasy_egzogenne" TargetMode="External"/><Relationship Id="rId19" Type="http://schemas.openxmlformats.org/officeDocument/2006/relationships/hyperlink" Target="https://pl.wikipedia.org/wiki/W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ia%C5%82ka" TargetMode="External"/><Relationship Id="rId14" Type="http://schemas.openxmlformats.org/officeDocument/2006/relationships/hyperlink" Target="https://pl.wikipedia.org/wiki/Polisachary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2020-09-17T07:49:00Z</dcterms:created>
  <dcterms:modified xsi:type="dcterms:W3CDTF">2020-09-17T07:49:00Z</dcterms:modified>
</cp:coreProperties>
</file>